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Załącznik nr 1 - Formularz Oferty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right="147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do Zapytania Ofertowego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01/07/2025/KPOD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spacing w:before="455" w:line="276" w:lineRule="auto"/>
        <w:ind w:left="141" w:right="140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</w:r>
    </w:p>
    <w:p w:rsidR="00000000" w:rsidDel="00000000" w:rsidP="00000000" w:rsidRDefault="00000000" w:rsidRPr="00000000" w14:paraId="00000004">
      <w:pPr>
        <w:widowControl w:val="0"/>
        <w:spacing w:before="445" w:line="276" w:lineRule="auto"/>
        <w:ind w:left="141" w:right="140" w:firstLine="0"/>
        <w:jc w:val="center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Nr Projektu: KPOD.01.03-IW.01-D118/24</w:t>
      </w:r>
    </w:p>
    <w:p w:rsidR="00000000" w:rsidDel="00000000" w:rsidP="00000000" w:rsidRDefault="00000000" w:rsidRPr="00000000" w14:paraId="00000005">
      <w:pPr>
        <w:widowControl w:val="0"/>
        <w:spacing w:before="445" w:line="276" w:lineRule="auto"/>
        <w:ind w:left="141" w:right="140" w:firstLine="0"/>
        <w:jc w:val="center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Tytuł Projektu: Dywersyfikacja działalności "A Jednak" poprzez rozpoczęcie oferowania usług restauracji mobilnej. ( Region 2: Woj. Mazowieckie) </w:t>
      </w:r>
    </w:p>
    <w:p w:rsidR="00000000" w:rsidDel="00000000" w:rsidP="00000000" w:rsidRDefault="00000000" w:rsidRPr="00000000" w14:paraId="00000006">
      <w:pPr>
        <w:spacing w:line="276" w:lineRule="auto"/>
        <w:jc w:val="lef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DANE WYKONAWCY</w:t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DOSTAWA I INSTALACJA RESTAURACJI MOBILNEJ ZGODNIE Z OPZ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CENA PRZEDMIOTU ZAMÓWIENIA/DEKLARACJA DOTYCZĄCA CZASU REAKCJI NA WEZWANIE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1080" w:firstLine="0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DEKLAROWANY OKRES GWARANCJI: ……miesięcy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D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left="1080" w:firstLine="0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Przyjmuję do realizacji warunki postawione przez Zamawiającego w odpowiedzi na zapytanie ofertowe. 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7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8">
      <w:pPr>
        <w:spacing w:line="276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/>
      <w:drawing>
        <wp:inline distB="114300" distT="114300" distL="114300" distR="114300">
          <wp:extent cx="5760410" cy="736600"/>
          <wp:effectExtent b="0" l="0" r="0" t="0"/>
          <wp:docPr id="126115437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Roman"/>
      <w:lvlText w:val="%1."/>
      <w:lvlJc w:val="left"/>
      <w:pPr>
        <w:ind w:left="1080" w:hanging="72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S+xdTUtMbLybybk1eA7SP/TQmA==">CgMxLjAyCWguM3pueXNoNzgAciExYmJyZEN2OFdQd1Q4X2JCS0VWRnU1eDlFNk9CU2poWjg=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